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rtl w:val="0"/>
        </w:rPr>
        <w:t xml:space="preserve">Component / Task team:</w:t>
      </w:r>
    </w:p>
    <w:tbl>
      <w:tblPr>
        <w:tblStyle w:val="Table1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Observations Coordination Group (OCG)</w:t>
            </w:r>
          </w:p>
        </w:tc>
      </w:tr>
    </w:tbl>
    <w:p w:rsidR="00000000" w:rsidDel="00000000" w:rsidP="00000000" w:rsidRDefault="00000000" w:rsidRPr="00000000" w14:paraId="00000003">
      <w:pPr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rtl w:val="0"/>
        </w:rPr>
        <w:t xml:space="preserve">Report submitted by:</w:t>
      </w:r>
    </w:p>
    <w:tbl>
      <w:tblPr>
        <w:tblStyle w:val="Table2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5">
            <w:pPr>
              <w:widowControl w:val="0"/>
              <w:spacing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Emma Heslop, Juliet Hermes, Champika Gallage, Mathieu Belbeoch, Kevin Obrien, Ann Christine Zinkann, Nelly Florida Riama, Abed El Rahman Hassoun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rtl w:val="0"/>
        </w:rPr>
        <w:t xml:space="preserve">Date submitted:</w:t>
      </w:r>
    </w:p>
    <w:tbl>
      <w:tblPr>
        <w:tblStyle w:val="Table3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20/03/2026</w:t>
            </w:r>
          </w:p>
        </w:tc>
      </w:tr>
    </w:tbl>
    <w:p w:rsidR="00000000" w:rsidDel="00000000" w:rsidP="00000000" w:rsidRDefault="00000000" w:rsidRPr="00000000" w14:paraId="00000009">
      <w:pPr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-85721</wp:posOffset>
                </wp:positionH>
                <wp:positionV relativeFrom="paragraph">
                  <wp:posOffset>3175</wp:posOffset>
                </wp:positionV>
                <wp:extent cx="6391275" cy="41275"/>
                <wp:effectExtent b="0" l="0" r="0" t="0"/>
                <wp:wrapNone/>
                <wp:docPr id="328490221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76190"/>
                          <a:ext cx="6362700" cy="762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rgbClr val="184596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-85721</wp:posOffset>
                </wp:positionH>
                <wp:positionV relativeFrom="paragraph">
                  <wp:posOffset>3175</wp:posOffset>
                </wp:positionV>
                <wp:extent cx="6391275" cy="41275"/>
                <wp:effectExtent b="0" l="0" r="0" t="0"/>
                <wp:wrapNone/>
                <wp:docPr id="32849022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91275" cy="412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C">
      <w:pPr>
        <w:rPr>
          <w:rFonts w:ascii="Roboto" w:cs="Roboto" w:eastAsia="Roboto" w:hAnsi="Roboto"/>
          <w:b w:val="1"/>
          <w:bCs w:val="1"/>
          <w:sz w:val="30"/>
          <w:szCs w:val="30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30"/>
          <w:szCs w:val="30"/>
          <w:rtl w:val="0"/>
        </w:rPr>
        <w:t xml:space="preserve">Report on workplan progress </w:t>
      </w:r>
    </w:p>
    <w:p w:rsidR="00000000" w:rsidDel="00000000" w:rsidP="00000000" w:rsidRDefault="00000000" w:rsidRPr="00000000" w14:paraId="0000000D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Introduction/Background</w:t>
      </w:r>
    </w:p>
    <w:p w:rsidR="00000000" w:rsidDel="00000000" w:rsidP="00000000" w:rsidRDefault="00000000" w:rsidRPr="00000000" w14:paraId="00000010">
      <w:pPr>
        <w:rPr>
          <w:rFonts w:ascii="Roboto" w:cs="Roboto" w:eastAsia="Roboto" w:hAnsi="Roboto"/>
          <w:b w:val="1"/>
          <w:bCs w:val="1"/>
        </w:rPr>
      </w:pPr>
      <w:r w:rsidDel="00000000" w:rsidR="00000000" w:rsidRPr="00000000">
        <w:rPr>
          <w:rFonts w:ascii="Roboto" w:cs="Roboto" w:eastAsia="Roboto" w:hAnsi="Roboto"/>
          <w:color w:val="666666"/>
          <w:rtl w:val="0"/>
        </w:rPr>
        <w:t xml:space="preserve">Including links to relevant documents, mandates etc.</w:t>
      </w: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1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The Observations Coordination Group (OCG) is the coordinating body for the GOOS observing networks, responsible for coordinating across requirements, aligning data flows, observing platform metadata, and cross-network collaboration in support of GOOS objectives across a range of areas. Overall the Observation Coordination Group (OCG) works to efficiently operate, maintain, coordinate and integrate a comprehensive in-situ global ocean observing system. It targets work around 8 foci: Requirements, Observing Advances, Standards and Best Practices, Data Management, OceanOPS, Metrics, with environmental stewardship and capacity development considered at network level. </w:t>
            </w:r>
          </w:p>
          <w:p w:rsidR="00000000" w:rsidDel="00000000" w:rsidP="00000000" w:rsidRDefault="00000000" w:rsidRPr="00000000" w14:paraId="00000012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The OCG now coordinates across 17 global observing networks - 13 mature and 4 emerging, and it maintains close collaboration with WMO INFCOM.</w:t>
            </w:r>
          </w:p>
          <w:p w:rsidR="00000000" w:rsidDel="00000000" w:rsidP="00000000" w:rsidRDefault="00000000" w:rsidRPr="00000000" w14:paraId="00000014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Key current actions include: advancing data infrastructure for GOOS networks (Data Implementation Strategy); coordinating OceanOPS services to networks; supporting the GOOS Status Report; and facilitating observing network integration and coordination with WMO/WIGOS systems. This report covers OCG workplan progress for the period leading to GOOS SC-15, drawing on outcomes from OCG Executive discussions of 17 March 2026.</w:t>
            </w:r>
          </w:p>
          <w:p w:rsidR="00000000" w:rsidDel="00000000" w:rsidP="00000000" w:rsidRDefault="00000000" w:rsidRPr="00000000" w14:paraId="00000016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rPr>
                <w:rFonts w:ascii="Roboto" w:cs="Roboto" w:eastAsia="Roboto" w:hAnsi="Roboto"/>
                <w:i w:val="1"/>
                <w:iCs w:val="1"/>
              </w:rPr>
            </w:pPr>
            <w:r w:rsidDel="00000000" w:rsidR="00000000" w:rsidRPr="00000000">
              <w:rPr>
                <w:rFonts w:ascii="Roboto" w:cs="Roboto" w:eastAsia="Roboto" w:hAnsi="Roboto"/>
                <w:i w:val="1"/>
                <w:iCs w:val="1"/>
                <w:rtl w:val="0"/>
              </w:rPr>
              <w:t xml:space="preserve">Note: This report does not contain updates from across the individual networks, as these are typically provided for the OCG annual meeting, next will be OCG-17 in May 2026.</w:t>
            </w:r>
          </w:p>
        </w:tc>
      </w:tr>
    </w:tbl>
    <w:p w:rsidR="00000000" w:rsidDel="00000000" w:rsidP="00000000" w:rsidRDefault="00000000" w:rsidRPr="00000000" w14:paraId="00000018">
      <w:pPr>
        <w:pStyle w:val="Heading3"/>
        <w:spacing w:after="0" w:before="160" w:line="480" w:lineRule="auto"/>
        <w:jc w:val="center"/>
        <w:rPr>
          <w:rFonts w:ascii="Roboto" w:cs="Roboto" w:eastAsia="Roboto" w:hAnsi="Roboto"/>
          <w:color w:val="666666"/>
          <w:sz w:val="24"/>
          <w:szCs w:val="24"/>
        </w:rPr>
      </w:pPr>
      <w:bookmarkStart w:colFirst="0" w:colLast="0" w:name="_heading=h.ugipkd5vk237" w:id="0"/>
      <w:bookmarkEnd w:id="0"/>
      <w:r w:rsidDel="00000000" w:rsidR="00000000" w:rsidRPr="00000000">
        <w:rPr>
          <w:rFonts w:ascii="Roboto Light" w:cs="Roboto Light" w:eastAsia="Roboto Light" w:hAnsi="Roboto Light"/>
          <w:color w:val="000000"/>
          <w:sz w:val="22"/>
          <w:szCs w:val="22"/>
        </w:rPr>
        <w:drawing>
          <wp:inline distB="114300" distT="114300" distL="114300" distR="114300">
            <wp:extent cx="5943600" cy="3505200"/>
            <wp:effectExtent b="0" l="0" r="0" t="0"/>
            <wp:docPr id="32849022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Roboto" w:cs="Roboto" w:eastAsia="Roboto" w:hAnsi="Roboto"/>
          <w:color w:val="666666"/>
          <w:sz w:val="26"/>
          <w:szCs w:val="26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Updates on work </w:t>
      </w:r>
      <w:r w:rsidDel="00000000" w:rsidR="00000000" w:rsidRPr="00000000">
        <w:rPr>
          <w:rtl w:val="0"/>
        </w:rPr>
      </w:r>
    </w:p>
    <w:tbl>
      <w:tblPr>
        <w:tblStyle w:val="Table5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A">
            <w:pPr>
              <w:rPr>
                <w:rFonts w:ascii="Roboto" w:cs="Roboto" w:eastAsia="Roboto" w:hAnsi="Roboto"/>
                <w:b w:val="1"/>
                <w:bCs w:val="1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rtl w:val="0"/>
              </w:rPr>
              <w:t xml:space="preserve">Progress against workplan:</w:t>
            </w:r>
          </w:p>
          <w:p w:rsidR="00000000" w:rsidDel="00000000" w:rsidP="00000000" w:rsidRDefault="00000000" w:rsidRPr="00000000" w14:paraId="0000001B">
            <w:pPr>
              <w:spacing w:after="240" w:befor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The OCG continued implementing its</w:t>
            </w:r>
            <w:hyperlink r:id="rId9">
              <w:r w:rsidDel="00000000" w:rsidR="00000000" w:rsidRPr="00000000">
                <w:rPr>
                  <w:rFonts w:ascii="Roboto" w:cs="Roboto" w:eastAsia="Roboto" w:hAnsi="Roboto"/>
                  <w:color w:val="1155cc"/>
                  <w:u w:val="single"/>
                  <w:rtl w:val="0"/>
                </w:rPr>
                <w:t xml:space="preserve"> 2025-2026 workplan</w:t>
              </w:r>
            </w:hyperlink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 key progress to highlight incudes:</w:t>
            </w:r>
          </w:p>
          <w:p w:rsidR="00000000" w:rsidDel="00000000" w:rsidP="00000000" w:rsidRDefault="00000000" w:rsidRPr="00000000" w14:paraId="0000001C">
            <w:pPr>
              <w:numPr>
                <w:ilvl w:val="0"/>
                <w:numId w:val="6"/>
              </w:numPr>
              <w:spacing w:after="0" w:afterAutospacing="0" w:before="24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Requirements: Supported finalization of the WMO Rolling Review of Requirements (RRR) Statement of Guidance (SOG) for Ocean with full network participation - this will be released by WMO in April 2026</w:t>
            </w:r>
          </w:p>
          <w:p w:rsidR="00000000" w:rsidDel="00000000" w:rsidP="00000000" w:rsidRDefault="00000000" w:rsidRPr="00000000" w14:paraId="0000001D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WIGOS Integration: Provided strategic input into the WIGOS 2050 Vision.</w:t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Data and Metadata: The task team spent 2025 establishing foundational data infrastructure for GOOS. Key achievements included conducting a network survey to understand metadata practices, developing the minimum metadata requirements (Passport) across networks (unique WIGOS IDs for all platforms, WIGOS/OSCAR compliant, controlled vocabulary via BODC NVS), a network data survey to understand metadata practices, mapping data endpoints across networks, and introducing  important discussions on data provenance and 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licensing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. Networks as managed vocabulary: to be implemented at NODC.</w:t>
            </w:r>
          </w:p>
          <w:p w:rsidR="00000000" w:rsidDel="00000000" w:rsidP="00000000" w:rsidRDefault="00000000" w:rsidRPr="00000000" w14:paraId="0000001F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BioEco Panel Engagement: Sustained dialogue with the GOOS BioEco Panel (including OBIS) to align the GOOS minimum metadata passport with biological metadata requirements and identified collaborative pilots - specific projects for integrated data delivery, including CalCOFI and the animal tracking network (linked to AniBOS).</w:t>
            </w:r>
          </w:p>
          <w:p w:rsidR="00000000" w:rsidDel="00000000" w:rsidP="00000000" w:rsidRDefault="00000000" w:rsidRPr="00000000" w14:paraId="00000020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Network Onboarding: Successfully onboarded a new network (</w:t>
            </w:r>
            <w:hyperlink r:id="rId10">
              <w:r w:rsidDel="00000000" w:rsidR="00000000" w:rsidRPr="00000000">
                <w:rPr>
                  <w:rFonts w:ascii="Roboto" w:cs="Roboto" w:eastAsia="Roboto" w:hAnsi="Roboto"/>
                  <w:color w:val="1155cc"/>
                  <w:u w:val="single"/>
                  <w:rtl w:val="0"/>
                </w:rPr>
                <w:t xml:space="preserve">SUN Fleet</w:t>
              </w:r>
            </w:hyperlink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), bringing OCG membership to 17 global networks (13 mature and 4 emerging – network summary).</w:t>
            </w:r>
          </w:p>
          <w:p w:rsidR="00000000" w:rsidDel="00000000" w:rsidP="00000000" w:rsidRDefault="00000000" w:rsidRPr="00000000" w14:paraId="00000021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OCG Leadership: Successfully recruited and onboarded new Chair - Juliet Hermes and new Vice Chairs- Abed El Rahman Hassoun (Standards and Best Practices) and Nelly Florida Riama (WMO)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6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Metrics: Emerging network and mature network status defined against the OCG Network Attributes and a subset trackable metrics are now defined to show progress to reaching maturity for networks -- piloted for OCG-17</w:t>
            </w:r>
          </w:p>
          <w:p w:rsidR="00000000" w:rsidDel="00000000" w:rsidP="00000000" w:rsidRDefault="00000000" w:rsidRPr="00000000" w14:paraId="00000023">
            <w:pPr>
              <w:numPr>
                <w:ilvl w:val="0"/>
                <w:numId w:val="6"/>
              </w:numPr>
              <w:spacing w:after="240" w:before="0" w:beforeAutospacing="0" w:lineRule="auto"/>
              <w:ind w:left="720" w:hanging="360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GOOS endorsement of new Practices: e.g. VOS and others under development, strong download of GOOS endorsed practices (see figure at end)</w:t>
            </w:r>
          </w:p>
          <w:p w:rsidR="00000000" w:rsidDel="00000000" w:rsidP="00000000" w:rsidRDefault="00000000" w:rsidRPr="00000000" w14:paraId="00000024">
            <w:pPr>
              <w:spacing w:after="240" w:before="240" w:lineRule="auto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OceanOPS</w:t>
            </w:r>
          </w:p>
          <w:p w:rsidR="00000000" w:rsidDel="00000000" w:rsidP="00000000" w:rsidRDefault="00000000" w:rsidRPr="00000000" w14:paraId="00000025">
            <w:pPr>
              <w:numPr>
                <w:ilvl w:val="0"/>
                <w:numId w:val="4"/>
              </w:numPr>
              <w:spacing w:after="0" w:afterAutospacing="0" w:before="24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Hosting Stability: Secured a 5-year hosting contract with Ifremer to ensure OceanOPS operational stability and data unification synergies.</w:t>
            </w:r>
          </w:p>
          <w:p w:rsidR="00000000" w:rsidDel="00000000" w:rsidP="00000000" w:rsidRDefault="00000000" w:rsidRPr="00000000" w14:paraId="00000026">
            <w:pPr>
              <w:numPr>
                <w:ilvl w:val="0"/>
                <w:numId w:val="4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Service Level Agreements (SLAs): Rationalized services to networks through new SLAs, aligning support with allocated resources and increasing accountability.</w:t>
            </w:r>
          </w:p>
          <w:p w:rsidR="00000000" w:rsidDel="00000000" w:rsidP="00000000" w:rsidRDefault="00000000" w:rsidRPr="00000000" w14:paraId="00000027">
            <w:pPr>
              <w:numPr>
                <w:ilvl w:val="0"/>
                <w:numId w:val="4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10K Ships Initiative: Advanced the public-private framework to scale up ship-based observations by championing the shipping industry as a multidisciplinary GOOS partner.</w:t>
            </w:r>
          </w:p>
          <w:p w:rsidR="00000000" w:rsidDel="00000000" w:rsidP="00000000" w:rsidRDefault="00000000" w:rsidRPr="00000000" w14:paraId="00000028">
            <w:pPr>
              <w:numPr>
                <w:ilvl w:val="0"/>
                <w:numId w:val="4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Reporting Capacity: Improving reporting capacity (GOOS Yearly Status Report) - impact is visibility for GOOS integrated system, challenges and opportunities</w:t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4"/>
              </w:numPr>
              <w:spacing w:after="24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OceanOPS 5-Year Strategy: internal workshop and planning for stakeholder interviews and workshop to deliver new forward looking OceanOPS 5-Year Strategy by end 2026</w:t>
            </w:r>
          </w:p>
          <w:p w:rsidR="00000000" w:rsidDel="00000000" w:rsidP="00000000" w:rsidRDefault="00000000" w:rsidRPr="00000000" w14:paraId="0000002A">
            <w:pPr>
              <w:rPr>
                <w:rFonts w:ascii="Roboto" w:cs="Roboto" w:eastAsia="Roboto" w:hAnsi="Roboto"/>
              </w:rPr>
            </w:pPr>
            <w:r w:rsidDel="00000000" w:rsidR="00000000" w:rsidRPr="00000000">
              <w:pict>
                <v:rect style="width:0.0pt;height:1.5pt" o:hr="t" o:hrstd="t" o:hralign="center" fillcolor="#A0A0A0" stroked="f"/>
              </w:pic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rPr>
                <w:rFonts w:ascii="Roboto" w:cs="Roboto" w:eastAsia="Roboto" w:hAnsi="Roboto"/>
                <w:b w:val="1"/>
                <w:bCs w:val="1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rtl w:val="0"/>
              </w:rPr>
              <w:t xml:space="preserve">Top 5 outcomes from the last year, and the impact for GOOS:</w:t>
            </w:r>
          </w:p>
          <w:p w:rsidR="00000000" w:rsidDel="00000000" w:rsidP="00000000" w:rsidRDefault="00000000" w:rsidRPr="00000000" w14:paraId="0000002C">
            <w:pPr>
              <w:ind w:left="0" w:firstLine="0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numPr>
                <w:ilvl w:val="0"/>
                <w:numId w:val="7"/>
              </w:numPr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17 GOOS Observing networks: impact is GOOS consolidated as core global coordinator, with new networks developing impact in new areas and with new partners</w:t>
            </w:r>
          </w:p>
          <w:p w:rsidR="00000000" w:rsidDel="00000000" w:rsidP="00000000" w:rsidRDefault="00000000" w:rsidRPr="00000000" w14:paraId="0000002E">
            <w:pPr>
              <w:numPr>
                <w:ilvl w:val="0"/>
                <w:numId w:val="7"/>
              </w:numPr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Implementation Data Strategy: key outcomes in 2025/2026 are the minimum metadata Passport, global end point strengthening (WIS 2.0 compliant) - 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impact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 is progress towards a 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standardized, globally interoperable data architecture, machine-to-machine metadata harvesting, and data discoverability - delivering FAIR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7"/>
              </w:numPr>
              <w:ind w:left="720" w:hanging="360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OceanOPS Service Level Agreements - impact is stability, accountability, fair support for networks and free baseline -  rationalizing services to networks/aligning resources</w:t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7"/>
              </w:numPr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Metrics: key to tracking data delivery, network resilience, achievement towards targets, network ‘health’ and reporting (Status Report)</w:t>
            </w:r>
          </w:p>
          <w:p w:rsidR="00000000" w:rsidDel="00000000" w:rsidP="00000000" w:rsidRDefault="00000000" w:rsidRPr="00000000" w14:paraId="00000031">
            <w:pPr>
              <w:numPr>
                <w:ilvl w:val="0"/>
                <w:numId w:val="7"/>
              </w:numPr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10K ships public private framework - 2025 launch and 2026 workshop with first shipping champion - impact visibility across the shipping industry, more surface observations within 2 years</w:t>
            </w:r>
          </w:p>
        </w:tc>
      </w:tr>
    </w:tbl>
    <w:p w:rsidR="00000000" w:rsidDel="00000000" w:rsidP="00000000" w:rsidRDefault="00000000" w:rsidRPr="00000000" w14:paraId="00000032">
      <w:pPr>
        <w:rPr>
          <w:rFonts w:ascii="Roboto" w:cs="Roboto" w:eastAsia="Roboto" w:hAnsi="Roboto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Roboto" w:cs="Roboto" w:eastAsia="Roboto" w:hAnsi="Roboto"/>
          <w:color w:val="666666"/>
          <w:sz w:val="26"/>
          <w:szCs w:val="26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Looking ahead </w:t>
      </w:r>
      <w:r w:rsidDel="00000000" w:rsidR="00000000" w:rsidRPr="00000000">
        <w:rPr>
          <w:rtl w:val="0"/>
        </w:rPr>
      </w:r>
    </w:p>
    <w:tbl>
      <w:tblPr>
        <w:tblStyle w:val="Table6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rPr>
                <w:rFonts w:ascii="Roboto" w:cs="Roboto" w:eastAsia="Roboto" w:hAnsi="Roboto"/>
                <w:b w:val="1"/>
                <w:bCs w:val="1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rtl w:val="0"/>
              </w:rPr>
              <w:t xml:space="preserve">Prioritised deliverables (2026-2027)</w:t>
            </w:r>
          </w:p>
          <w:p w:rsidR="00000000" w:rsidDel="00000000" w:rsidP="00000000" w:rsidRDefault="00000000" w:rsidRPr="00000000" w14:paraId="00000038">
            <w:pPr>
              <w:rPr>
                <w:rFonts w:ascii="Roboto" w:cs="Roboto" w:eastAsia="Roboto" w:hAnsi="Roboto"/>
                <w:b w:val="1"/>
                <w:bCs w:val="1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rtl w:val="0"/>
              </w:rPr>
              <w:t xml:space="preserve">Data TT 2026 Priorities</w:t>
            </w:r>
          </w:p>
          <w:p w:rsidR="00000000" w:rsidDel="00000000" w:rsidP="00000000" w:rsidRDefault="00000000" w:rsidRPr="00000000" w14:paraId="00000039">
            <w:pPr>
              <w:ind w:left="0" w:firstLine="0"/>
              <w:rPr>
                <w:rFonts w:ascii="Roboto" w:cs="Roboto" w:eastAsia="Roboto" w:hAnsi="Roboto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2"/>
              </w:numPr>
              <w:spacing w:after="0" w:afterAutospacing="0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Data Strategy &amp; Data Delivery: </w:t>
            </w: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GitHub workspace for collaboration, prioritize machine-to-machine metadata integration into OceanOPS, implement ERDDAP services at data endpoints. Trial the first OCG (consolidated) ERDDAP (Ifremer) enabling cross network data discovery and harvest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2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</w:rPr>
            </w:pPr>
            <w:sdt>
              <w:sdtPr>
                <w:id w:val="-976473783"/>
                <w:tag w:val="goog_rdk_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OCG ➔ ICG Transition: Manage the evolution from OCG to the proposed Infrastructure Coordination Group (ICG).</w:t>
                </w:r>
              </w:sdtContent>
            </w:sdt>
          </w:p>
          <w:p w:rsidR="00000000" w:rsidDel="00000000" w:rsidP="00000000" w:rsidRDefault="00000000" w:rsidRPr="00000000" w14:paraId="0000003C">
            <w:pPr>
              <w:numPr>
                <w:ilvl w:val="0"/>
                <w:numId w:val="2"/>
              </w:numPr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Develop integrated system view: Viewing the observing system by EOV, develop pilot and set requirements for the work ahead at OCG-17. Design towards assessment of system against requirements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2"/>
              </w:numPr>
              <w:spacing w:after="0" w:afterAutospacing="0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Strengthening connections with the modelling community</w:t>
            </w:r>
          </w:p>
          <w:p w:rsidR="00000000" w:rsidDel="00000000" w:rsidP="00000000" w:rsidRDefault="00000000" w:rsidRPr="00000000" w14:paraId="0000003E">
            <w:pPr>
              <w:numPr>
                <w:ilvl w:val="0"/>
                <w:numId w:val="2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GOOS Minimum Metadata Passport: Standardise metadata requirements for platform discoverability across GOOS (OCG and BuioEco data flows)</w:t>
            </w:r>
          </w:p>
          <w:p w:rsidR="00000000" w:rsidDel="00000000" w:rsidP="00000000" w:rsidRDefault="00000000" w:rsidRPr="00000000" w14:paraId="0000003F">
            <w:pPr>
              <w:numPr>
                <w:ilvl w:val="0"/>
                <w:numId w:val="2"/>
              </w:numPr>
              <w:spacing w:after="24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Data Architecture: Finalise architecture across OCG and the BioEco Panel, specifically addressing uncertainty and representation for streamlined data flows.</w:t>
            </w:r>
          </w:p>
          <w:p w:rsidR="00000000" w:rsidDel="00000000" w:rsidP="00000000" w:rsidRDefault="00000000" w:rsidRPr="00000000" w14:paraId="00000040">
            <w:pPr>
              <w:spacing w:line="240" w:lineRule="auto"/>
              <w:rPr>
                <w:rFonts w:ascii="Roboto" w:cs="Roboto" w:eastAsia="Roboto" w:hAnsi="Roboto"/>
                <w:b w:val="1"/>
                <w:bCs w:val="1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rtl w:val="0"/>
              </w:rPr>
              <w:t xml:space="preserve">Expected outcomes for GOOS</w:t>
            </w:r>
          </w:p>
          <w:p w:rsidR="00000000" w:rsidDel="00000000" w:rsidP="00000000" w:rsidRDefault="00000000" w:rsidRPr="00000000" w14:paraId="00000041">
            <w:pPr>
              <w:numPr>
                <w:ilvl w:val="0"/>
                <w:numId w:val="5"/>
              </w:numPr>
              <w:spacing w:after="0" w:afterAutospacing="0" w:before="24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Automated Data Flows: Improved machine-to-machine flows across networks, reducing manual reporting burdens and increasing data discoverability via WIS 2.0-compliant endpoints and IODE ODIS, other as required</w:t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5"/>
              </w:numPr>
              <w:spacing w:after="0" w:afterAutospacing="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Unified Access: A federated OCG ERDDAP service providing a unified access point for modeling communities to utilize cross-network ocean data at scale.</w:t>
            </w:r>
          </w:p>
          <w:p w:rsidR="00000000" w:rsidDel="00000000" w:rsidP="00000000" w:rsidRDefault="00000000" w:rsidRPr="00000000" w14:paraId="00000043">
            <w:pPr>
              <w:numPr>
                <w:ilvl w:val="0"/>
                <w:numId w:val="5"/>
              </w:numPr>
              <w:spacing w:after="240" w:before="0" w:beforeAutospacing="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Enhanced Assessment: Increased capacity for OCG to assess EOV coverage versus requirements, and network status and health, supporting rigorous reporting for member states and policymakers.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spacing w:line="240" w:lineRule="auto"/>
        <w:rPr>
          <w:rFonts w:ascii="Roboto" w:cs="Roboto" w:eastAsia="Roboto" w:hAnsi="Roboto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line="240" w:lineRule="auto"/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24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Considerations for the GOOS SC</w:t>
      </w:r>
    </w:p>
    <w:p w:rsidR="00000000" w:rsidDel="00000000" w:rsidP="00000000" w:rsidRDefault="00000000" w:rsidRPr="00000000" w14:paraId="00000047">
      <w:pPr>
        <w:spacing w:line="240" w:lineRule="auto"/>
        <w:rPr>
          <w:rFonts w:ascii="Roboto" w:cs="Roboto" w:eastAsia="Roboto" w:hAnsi="Roboto"/>
          <w:color w:val="666666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rHeight w:val="14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8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Considerations for the GOOS SC Resource Realities: Note that the proposed ICG structure requires significant staff increases (6 additional FTEs) to handle the expanded coordination mandate. OCG requires additional support with 17 networks.</w:t>
            </w:r>
          </w:p>
          <w:p w:rsidR="00000000" w:rsidDel="00000000" w:rsidP="00000000" w:rsidRDefault="00000000" w:rsidRPr="00000000" w14:paraId="00000049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Roboto" w:cs="Roboto" w:eastAsia="Roboto" w:hAnsi="Roboto"/>
                <w:u w:val="none"/>
              </w:rPr>
            </w:pPr>
            <w:r w:rsidDel="00000000" w:rsidR="00000000" w:rsidRPr="00000000">
              <w:rPr>
                <w:rFonts w:ascii="Roboto" w:cs="Roboto" w:eastAsia="Roboto" w:hAnsi="Roboto"/>
                <w:rtl w:val="0"/>
              </w:rPr>
              <w:t xml:space="preserve">National Coordination: GOOS should focus on global coordination while leaving national and coastal network management to individual Member States.</w:t>
            </w:r>
          </w:p>
        </w:tc>
      </w:tr>
    </w:tbl>
    <w:p w:rsidR="00000000" w:rsidDel="00000000" w:rsidP="00000000" w:rsidRDefault="00000000" w:rsidRPr="00000000" w14:paraId="0000004A">
      <w:pPr>
        <w:spacing w:line="240" w:lineRule="auto"/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jc w:val="both"/>
        <w:rPr>
          <w:rFonts w:ascii="Barlow" w:cs="Barlow" w:eastAsia="Barlow" w:hAnsi="Barlow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pPr w:leftFromText="180" w:rightFromText="180" w:topFromText="180" w:bottomFromText="180" w:vertAnchor="text" w:horzAnchor="text" w:tblpX="0" w:tblpY="0"/>
        <w:tblW w:w="9071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71"/>
        <w:tblGridChange w:id="0">
          <w:tblGrid>
            <w:gridCol w:w="9071"/>
          </w:tblGrid>
        </w:tblGridChange>
      </w:tblGrid>
      <w:tr>
        <w:trPr>
          <w:cantSplit w:val="0"/>
          <w:tblHeader w:val="0"/>
        </w:trPr>
        <w:tc>
          <w:tcPr>
            <w:shd w:fill="dbeef3" w:val="clear"/>
          </w:tcPr>
          <w:p w:rsidR="00000000" w:rsidDel="00000000" w:rsidP="00000000" w:rsidRDefault="00000000" w:rsidRPr="00000000" w14:paraId="0000004C">
            <w:pPr>
              <w:keepNext w:val="1"/>
              <w:spacing w:after="120" w:lineRule="auto"/>
              <w:rPr>
                <w:rFonts w:ascii="Barlow" w:cs="Barlow" w:eastAsia="Barlow" w:hAnsi="Barlow"/>
                <w:sz w:val="22"/>
                <w:szCs w:val="22"/>
              </w:rPr>
            </w:pPr>
            <w:r w:rsidDel="00000000" w:rsidR="00000000" w:rsidRPr="00000000">
              <w:rPr>
                <w:rFonts w:ascii="Barlow" w:cs="Barlow" w:eastAsia="Barlow" w:hAnsi="Barlow"/>
                <w:i w:val="1"/>
                <w:iCs w:val="1"/>
                <w:sz w:val="22"/>
                <w:szCs w:val="22"/>
                <w:rtl w:val="0"/>
              </w:rPr>
              <w:t xml:space="preserve">Proposed action/decision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0"/>
              <w:numPr>
                <w:ilvl w:val="0"/>
                <w:numId w:val="3"/>
              </w:numPr>
              <w:ind w:left="720" w:hanging="360"/>
              <w:rPr>
                <w:rFonts w:ascii="Barlow" w:cs="Barlow" w:eastAsia="Barlow" w:hAnsi="Barlow"/>
                <w:sz w:val="20"/>
                <w:szCs w:val="20"/>
              </w:rPr>
            </w:pPr>
            <w:r w:rsidDel="00000000" w:rsidR="00000000" w:rsidRPr="00000000">
              <w:rPr>
                <w:rFonts w:ascii="Barlow" w:cs="Barlow" w:eastAsia="Barlow" w:hAnsi="Barlow"/>
                <w:rtl w:val="0"/>
              </w:rPr>
              <w:t xml:space="preserve">Steering Committee …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widowControl w:val="0"/>
              <w:numPr>
                <w:ilvl w:val="0"/>
                <w:numId w:val="3"/>
              </w:numPr>
              <w:ind w:left="720" w:hanging="360"/>
              <w:rPr>
                <w:rFonts w:ascii="Barlow" w:cs="Barlow" w:eastAsia="Barlow" w:hAnsi="Barl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F">
      <w:pPr>
        <w:spacing w:line="276" w:lineRule="auto"/>
        <w:rPr>
          <w:rFonts w:ascii="Barlow" w:cs="Barlow" w:eastAsia="Barlow" w:hAnsi="Barl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line="276" w:lineRule="auto"/>
        <w:rPr>
          <w:rFonts w:ascii="Barlow" w:cs="Barlow" w:eastAsia="Barlow" w:hAnsi="Barl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76" w:lineRule="auto"/>
        <w:rPr>
          <w:rFonts w:ascii="Barlow" w:cs="Barlow" w:eastAsia="Barlow" w:hAnsi="Barl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76" w:lineRule="auto"/>
        <w:rPr>
          <w:rFonts w:ascii="Barlow" w:cs="Barlow" w:eastAsia="Barlow" w:hAnsi="Barl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line="276" w:lineRule="auto"/>
        <w:rPr>
          <w:rFonts w:ascii="Barlow" w:cs="Barlow" w:eastAsia="Barlow" w:hAnsi="Barlow"/>
          <w:sz w:val="20"/>
          <w:szCs w:val="20"/>
        </w:rPr>
      </w:pPr>
      <w:r w:rsidDel="00000000" w:rsidR="00000000" w:rsidRPr="00000000">
        <w:rPr>
          <w:rFonts w:ascii="Barlow" w:cs="Barlow" w:eastAsia="Barlow" w:hAnsi="Barlow"/>
          <w:sz w:val="20"/>
          <w:szCs w:val="20"/>
        </w:rPr>
        <w:drawing>
          <wp:inline distB="114300" distT="114300" distL="114300" distR="114300">
            <wp:extent cx="5943600" cy="3314700"/>
            <wp:effectExtent b="0" l="0" r="0" t="0"/>
            <wp:docPr id="32849022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76" w:lineRule="auto"/>
        <w:rPr>
          <w:rFonts w:ascii="Roboto" w:cs="Roboto" w:eastAsia="Roboto" w:hAnsi="Roboto"/>
          <w:color w:val="666666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Barlow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5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2</wp:posOffset>
          </wp:positionH>
          <wp:positionV relativeFrom="paragraph">
            <wp:posOffset>-342898</wp:posOffset>
          </wp:positionV>
          <wp:extent cx="986790" cy="706334"/>
          <wp:effectExtent b="0" l="0" r="0" t="0"/>
          <wp:wrapNone/>
          <wp:docPr id="328490224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86790" cy="706334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56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7">
    <w:pPr>
      <w:rPr>
        <w:color w:val="666666"/>
        <w:sz w:val="18"/>
        <w:szCs w:val="18"/>
      </w:rPr>
    </w:pPr>
    <w:r w:rsidDel="00000000" w:rsidR="00000000" w:rsidRPr="00000000">
      <w:rPr>
        <w:color w:val="666666"/>
        <w:sz w:val="18"/>
        <w:szCs w:val="18"/>
        <w:rtl w:val="0"/>
      </w:rPr>
      <w:t xml:space="preserve">15th GOOS Steering Committee meeting (SC-15) | 25-27 March, INCOIS, India</w:t>
    </w:r>
  </w:p>
  <w:p w:rsidR="00000000" w:rsidDel="00000000" w:rsidP="00000000" w:rsidRDefault="00000000" w:rsidRPr="00000000" w14:paraId="00000058">
    <w:pPr>
      <w:rPr>
        <w:b w:val="1"/>
        <w:bCs w:val="1"/>
        <w:color w:val="666666"/>
        <w:sz w:val="18"/>
        <w:szCs w:val="18"/>
      </w:rPr>
    </w:pPr>
    <w:r w:rsidDel="00000000" w:rsidR="00000000" w:rsidRPr="00000000">
      <w:rPr>
        <w:b w:val="1"/>
        <w:bCs w:val="1"/>
        <w:color w:val="666666"/>
        <w:sz w:val="18"/>
        <w:szCs w:val="18"/>
        <w:rtl w:val="0"/>
      </w:rPr>
      <w:t xml:space="preserve">Report on workplan progress - SC15 Background paper</w:t>
    </w:r>
  </w:p>
  <w:p w:rsidR="00000000" w:rsidDel="00000000" w:rsidP="00000000" w:rsidRDefault="00000000" w:rsidRPr="00000000" w14:paraId="00000059">
    <w:pPr>
      <w:rPr>
        <w:b w:val="1"/>
        <w:bCs w:val="1"/>
        <w:color w:val="666666"/>
        <w:sz w:val="18"/>
        <w:szCs w:val="18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iCs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a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5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ListParagraph">
    <w:name w:val="List Paragraph"/>
    <w:basedOn w:val="Normal"/>
    <w:uiPriority w:val="34"/>
    <w:qFormat w:val="1"/>
    <w:rsid w:val="007C0840"/>
    <w:pPr>
      <w:spacing w:after="160" w:line="259" w:lineRule="auto"/>
      <w:ind w:left="720"/>
      <w:contextualSpacing w:val="1"/>
    </w:pPr>
    <w:rPr>
      <w:rFonts w:asciiTheme="minorHAnsi" w:cstheme="minorBidi" w:eastAsiaTheme="minorHAnsi" w:hAnsiTheme="minorHAnsi"/>
      <w:kern w:val="2"/>
      <w:lang w:val="en-US"/>
    </w:rPr>
  </w:style>
  <w:style w:type="character" w:styleId="Hyperlink">
    <w:name w:val="Hyperlink"/>
    <w:basedOn w:val="DefaultParagraphFont"/>
    <w:uiPriority w:val="99"/>
    <w:unhideWhenUsed w:val="1"/>
    <w:rsid w:val="007C0840"/>
    <w:rPr>
      <w:color w:val="0000ff"/>
      <w:u w:val="single"/>
    </w:rPr>
  </w:style>
  <w:style w:type="paragraph" w:styleId="Revision">
    <w:name w:val="Revision"/>
    <w:hidden w:val="1"/>
    <w:uiPriority w:val="99"/>
    <w:semiHidden w:val="1"/>
    <w:rsid w:val="00BD1FB6"/>
    <w:pPr>
      <w:spacing w:line="240" w:lineRule="auto"/>
    </w:pPr>
  </w:style>
  <w:style w:type="character" w:styleId="CommentReference">
    <w:name w:val="annotation reference"/>
    <w:basedOn w:val="DefaultParagraphFont"/>
    <w:uiPriority w:val="99"/>
    <w:semiHidden w:val="1"/>
    <w:unhideWhenUsed w:val="1"/>
    <w:rsid w:val="00BD1FB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 w:val="1"/>
    <w:rsid w:val="00BD1FB6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BD1FB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BD1FB6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rsid w:val="00BD1FB6"/>
    <w:rPr>
      <w:b w:val="1"/>
      <w:bCs w:val="1"/>
      <w:sz w:val="20"/>
      <w:szCs w:val="20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BD1FB6"/>
    <w:rPr>
      <w:color w:val="605e5c"/>
      <w:shd w:color="auto" w:fill="e1dfdd" w:val="clear"/>
    </w:rPr>
  </w:style>
  <w:style w:type="paragraph" w:styleId="Header">
    <w:name w:val="header"/>
    <w:basedOn w:val="Normal"/>
    <w:link w:val="HeaderChar"/>
    <w:uiPriority w:val="99"/>
    <w:unhideWhenUsed w:val="1"/>
    <w:rsid w:val="006C7B1A"/>
    <w:pPr>
      <w:tabs>
        <w:tab w:val="center" w:pos="4680"/>
        <w:tab w:val="right" w:pos="9360"/>
      </w:tabs>
      <w:spacing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6C7B1A"/>
  </w:style>
  <w:style w:type="paragraph" w:styleId="Footer">
    <w:name w:val="footer"/>
    <w:basedOn w:val="Normal"/>
    <w:link w:val="FooterChar"/>
    <w:uiPriority w:val="99"/>
    <w:unhideWhenUsed w:val="1"/>
    <w:rsid w:val="006C7B1A"/>
    <w:pPr>
      <w:tabs>
        <w:tab w:val="center" w:pos="4680"/>
        <w:tab w:val="right" w:pos="9360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6C7B1A"/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rPr>
      <w:sz w:val="20"/>
      <w:szCs w:val="20"/>
    </w:rPr>
    <w:tblPr>
      <w:tblStyleRowBandSize w:val="1"/>
      <w:tblStyleColBandSize w:val="1"/>
    </w:tbl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hyperlink" Target="https://goosocean.org/news/uncrewed-surface-vehicles-go-global-sun-fleet-joins-goos-as-a-new-emerging-network/" TargetMode="External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cs.google.com/spreadsheets/d/119y0E2JA7DXOgzHgd5X-OUQemy4CCVtn/edit?gid=44755226#gid=44755226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1" Type="http://schemas.openxmlformats.org/officeDocument/2006/relationships/font" Target="fonts/Barlow-italic.ttf"/><Relationship Id="rId10" Type="http://schemas.openxmlformats.org/officeDocument/2006/relationships/font" Target="fonts/Barlow-bold.ttf"/><Relationship Id="rId12" Type="http://schemas.openxmlformats.org/officeDocument/2006/relationships/font" Target="fonts/Barlow-boldItalic.ttf"/><Relationship Id="rId9" Type="http://schemas.openxmlformats.org/officeDocument/2006/relationships/font" Target="fonts/Barlow-regular.ttf"/><Relationship Id="rId5" Type="http://schemas.openxmlformats.org/officeDocument/2006/relationships/font" Target="fonts/RobotoLight-regular.ttf"/><Relationship Id="rId6" Type="http://schemas.openxmlformats.org/officeDocument/2006/relationships/font" Target="fonts/RobotoLight-bold.ttf"/><Relationship Id="rId7" Type="http://schemas.openxmlformats.org/officeDocument/2006/relationships/font" Target="fonts/RobotoLight-italic.ttf"/><Relationship Id="rId8" Type="http://schemas.openxmlformats.org/officeDocument/2006/relationships/font" Target="fonts/RobotoLigh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EI+HUJUD2GlXKDp30Sbr9zdcwg==">CgMxLjAaJQoBMBIgCh4IB0IaCgZSb2JvdG8SEEFyaWFsIFVuaWNvZGUgTVMyDmgudWdpcGtkNXZrMjM3OABqJQoUc3VnZ2VzdC5hZHdyMjFzb2NteWQSDUtldmluIE8nQnJpZW5qJQoUc3VnZ2VzdC5lOHJ5YTUyam9mYjUSDUtldmluIE8nQnJpZW5yITFzTElZdGZlbTdEbmdJNV9BMEtQbW5tRDVXVU9yUUV0cA==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2025-02-10T14:34:00Z</dcterms:created>
  <dc:creator>Enrique Alvarez</dc:creator>
</cp:coreProperties>
</file>